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F853" w14:textId="77777777" w:rsidR="00114440" w:rsidRDefault="00000000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14:paraId="59282DC4" w14:textId="77777777" w:rsidR="00114440" w:rsidRDefault="00114440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70410D1" w14:textId="77777777" w:rsidR="002D2039" w:rsidRDefault="002D2039" w:rsidP="002D2039">
      <w:pPr>
        <w:spacing w:line="7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第七届全国法医DNA检验技术研讨会</w:t>
      </w:r>
      <w:r>
        <w:rPr>
          <w:rFonts w:eastAsia="方正小标宋简体" w:cs="方正小标宋简体" w:hint="eastAsia"/>
          <w:sz w:val="44"/>
          <w:szCs w:val="44"/>
        </w:rPr>
        <w:t>”</w:t>
      </w:r>
    </w:p>
    <w:p w14:paraId="75709915" w14:textId="5A6F9DC2" w:rsidR="00114440" w:rsidRDefault="00000000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论文格式要求及模板</w:t>
      </w:r>
    </w:p>
    <w:p w14:paraId="7BADB582" w14:textId="77777777" w:rsidR="00114440" w:rsidRDefault="00114440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</w:p>
    <w:p w14:paraId="5219383B" w14:textId="4FD847AC" w:rsidR="00114440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、论文命名规则：公安机关稿件文件名请按照“省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自治区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直辖市名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第一作者姓名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文章名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投稿时间”（例如：北京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张三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文章名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 w:rsidR="002D2039"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20240401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）的格式命名；非公安单位稿件文件名请按照“单位名称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第一作者姓名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文章名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投稿时间”（例如：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XX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大学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张三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文章名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_20240401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）的格式命名。</w:t>
      </w:r>
    </w:p>
    <w:p w14:paraId="2C8F20F4" w14:textId="77777777" w:rsidR="00114440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、论文保存类型：论文电子版请提交后缀为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.doc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.docx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的文件类型。</w:t>
      </w:r>
    </w:p>
    <w:p w14:paraId="09EFEB3D" w14:textId="79349278" w:rsidR="00114440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、论文联系人、联系电话</w:t>
      </w:r>
      <w:r w:rsidR="002D203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，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投稿主题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请在文末注明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（例如：联系人：张三；联系电话：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1</w:t>
      </w:r>
      <w:r w:rsidR="002D2039" w:rsidRPr="0038131B"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3900000000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；投稿主题：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1</w:t>
      </w:r>
      <w:r w:rsidR="002D2039" w:rsidRPr="00381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、中国法医物证学学科发展历史与现状）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。</w:t>
      </w:r>
    </w:p>
    <w:p w14:paraId="53F94847" w14:textId="3D4E44CE" w:rsidR="00CB23DA" w:rsidRPr="00CB23DA" w:rsidRDefault="00CB23DA" w:rsidP="00CB23DA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4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</w:t>
      </w: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确保图片清晰，达到印刷标准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（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3</w:t>
      </w:r>
      <w:r w:rsidR="00A32A4C"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00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dpi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以上）</w:t>
      </w: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。</w:t>
      </w:r>
    </w:p>
    <w:p w14:paraId="1ED83824" w14:textId="1D4A768F" w:rsidR="00CB23DA" w:rsidRPr="00CB23DA" w:rsidRDefault="00CB23DA" w:rsidP="00CB23DA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5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</w:t>
      </w: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案例中的犯罪嫌疑人及相关人员虚化，如张三改为张某，身份证、车牌号等进行部分遮挡或虚化。</w:t>
      </w:r>
      <w:r w:rsidRPr="00CB23DA"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 xml:space="preserve"> </w:t>
      </w:r>
    </w:p>
    <w:p w14:paraId="421BA0DA" w14:textId="52BC7906" w:rsidR="00CB23DA" w:rsidRPr="00CB23DA" w:rsidRDefault="00CB23DA" w:rsidP="00CB23DA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6</w:t>
      </w:r>
      <w:r w:rsidR="00A32A4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</w:t>
      </w:r>
      <w:r w:rsidRP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确保文章中不涉及涉密内容、不宜宣传的技术细节以及相关不宜宣传的技术手段。</w:t>
      </w:r>
    </w:p>
    <w:p w14:paraId="3E8CF7C6" w14:textId="689E1944" w:rsidR="00CB23DA" w:rsidRDefault="00A32A4C" w:rsidP="00CB23DA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、</w:t>
      </w:r>
      <w:r w:rsid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特别说明：论文</w:t>
      </w:r>
      <w:proofErr w:type="gramStart"/>
      <w:r w:rsid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请严格</w:t>
      </w:r>
      <w:proofErr w:type="gramEnd"/>
      <w:r w:rsidR="00CB23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按照论文模板要求提交，模板如下：</w:t>
      </w:r>
    </w:p>
    <w:p w14:paraId="7E8A5279" w14:textId="77777777" w:rsidR="002D2039" w:rsidRDefault="002D2039" w:rsidP="002D2039">
      <w:pPr>
        <w:rPr>
          <w:rFonts w:asciiTheme="minorEastAsia" w:hAnsiTheme="minorEastAsia"/>
          <w:sz w:val="24"/>
          <w:szCs w:val="24"/>
        </w:rPr>
      </w:pPr>
    </w:p>
    <w:p w14:paraId="3F026E9B" w14:textId="77777777" w:rsidR="00CB23DA" w:rsidRDefault="00CB23DA" w:rsidP="00CB23DA">
      <w:pPr>
        <w:spacing w:beforeLines="200" w:before="624" w:afterLines="100" w:after="312"/>
        <w:jc w:val="center"/>
        <w:rPr>
          <w:rFonts w:ascii="方正小标宋简体" w:eastAsia="方正小标宋简体" w:hAnsi="Times New Roman" w:cs="宋体"/>
          <w:bCs/>
          <w:sz w:val="36"/>
          <w:szCs w:val="36"/>
          <w:lang w:val="zh-CN"/>
        </w:rPr>
      </w:pPr>
      <w:r>
        <w:rPr>
          <w:rFonts w:ascii="方正小标宋简体" w:eastAsia="方正小标宋简体" w:hAnsi="Times New Roman" w:cs="宋体"/>
          <w:bCs/>
          <w:sz w:val="36"/>
          <w:szCs w:val="36"/>
          <w:lang w:val="zh-CN"/>
        </w:rPr>
        <w:lastRenderedPageBreak/>
        <w:t>中文题目</w:t>
      </w:r>
      <w:r>
        <w:rPr>
          <w:rFonts w:ascii="方正小标宋简体" w:eastAsia="方正小标宋简体" w:hAnsi="Times New Roman" w:cs="宋体"/>
          <w:bCs/>
          <w:color w:val="31849B" w:themeColor="accent5" w:themeShade="BF"/>
          <w:sz w:val="36"/>
          <w:szCs w:val="36"/>
          <w:lang w:val="zh-CN"/>
        </w:rPr>
        <w:t>（</w:t>
      </w:r>
      <w:r>
        <w:rPr>
          <w:rFonts w:ascii="方正小标宋简体" w:eastAsia="方正小标宋简体" w:hAnsi="Times New Roman" w:cs="宋体" w:hint="eastAsia"/>
          <w:bCs/>
          <w:color w:val="31849B" w:themeColor="accent5" w:themeShade="BF"/>
          <w:sz w:val="36"/>
          <w:szCs w:val="36"/>
          <w:lang w:val="zh-CN"/>
        </w:rPr>
        <w:t>小二，方正小标宋简体，</w:t>
      </w:r>
      <w:r>
        <w:rPr>
          <w:rFonts w:ascii="方正小标宋简体" w:eastAsia="方正小标宋简体" w:hAnsi="Times New Roman" w:cs="宋体"/>
          <w:bCs/>
          <w:color w:val="31849B" w:themeColor="accent5" w:themeShade="BF"/>
          <w:sz w:val="36"/>
          <w:szCs w:val="36"/>
          <w:lang w:val="zh-CN"/>
        </w:rPr>
        <w:t>居中）</w:t>
      </w:r>
    </w:p>
    <w:p w14:paraId="5B59FFF5" w14:textId="77777777" w:rsidR="00CB23DA" w:rsidRDefault="00CB23DA" w:rsidP="00CB23DA">
      <w:pPr>
        <w:spacing w:line="320" w:lineRule="exact"/>
        <w:ind w:firstLineChars="200" w:firstLine="440"/>
        <w:jc w:val="center"/>
        <w:rPr>
          <w:rFonts w:eastAsia="楷体"/>
          <w:color w:val="000000"/>
          <w:sz w:val="28"/>
          <w:szCs w:val="28"/>
          <w:vertAlign w:val="superscript"/>
        </w:rPr>
      </w:pPr>
      <w:r>
        <w:rPr>
          <w:rFonts w:ascii="Times New Roman" w:eastAsia="楷体" w:hAnsi="Times New Roman" w:cs="Times New Roman"/>
          <w:sz w:val="22"/>
          <w:szCs w:val="24"/>
          <w:lang w:val="zh-CN"/>
        </w:rPr>
        <w:t>作者</w:t>
      </w:r>
      <w:r>
        <w:rPr>
          <w:rFonts w:ascii="Times New Roman" w:eastAsia="楷体" w:hAnsi="Times New Roman" w:cs="Times New Roman" w:hint="eastAsia"/>
          <w:sz w:val="22"/>
          <w:szCs w:val="24"/>
          <w:lang w:val="zh-CN"/>
        </w:rPr>
        <w:t>一</w:t>
      </w:r>
      <w:proofErr w:type="gramStart"/>
      <w:r>
        <w:rPr>
          <w:rFonts w:ascii="Times New Roman" w:eastAsia="楷体" w:hAnsi="Times New Roman" w:cs="Times New Roman"/>
          <w:sz w:val="22"/>
          <w:szCs w:val="24"/>
          <w:vertAlign w:val="superscript"/>
          <w:lang w:val="zh-CN"/>
        </w:rPr>
        <w:t>1</w:t>
      </w:r>
      <w:proofErr w:type="gramEnd"/>
      <w:r>
        <w:rPr>
          <w:rFonts w:ascii="Times New Roman" w:eastAsia="楷体" w:hAnsi="Times New Roman" w:cs="Times New Roman" w:hint="eastAsia"/>
          <w:sz w:val="22"/>
          <w:szCs w:val="24"/>
          <w:lang w:val="zh-CN"/>
        </w:rPr>
        <w:t>，</w:t>
      </w:r>
      <w:r>
        <w:rPr>
          <w:rFonts w:ascii="Times New Roman" w:eastAsia="楷体" w:hAnsi="Times New Roman" w:cs="Times New Roman"/>
          <w:sz w:val="22"/>
          <w:szCs w:val="24"/>
          <w:lang w:val="zh-CN"/>
        </w:rPr>
        <w:t>作者</w:t>
      </w:r>
      <w:r>
        <w:rPr>
          <w:rFonts w:ascii="Times New Roman" w:eastAsia="楷体" w:hAnsi="Times New Roman" w:cs="Times New Roman" w:hint="eastAsia"/>
          <w:sz w:val="22"/>
          <w:szCs w:val="24"/>
          <w:lang w:val="zh-CN"/>
        </w:rPr>
        <w:t>二</w:t>
      </w:r>
      <w:proofErr w:type="gramStart"/>
      <w:r>
        <w:rPr>
          <w:rFonts w:ascii="Times New Roman" w:eastAsia="楷体" w:hAnsi="Times New Roman" w:cs="Times New Roman"/>
          <w:sz w:val="22"/>
          <w:szCs w:val="24"/>
          <w:vertAlign w:val="superscript"/>
          <w:lang w:val="zh-CN"/>
        </w:rPr>
        <w:t>1</w:t>
      </w:r>
      <w:proofErr w:type="gramEnd"/>
      <w:r>
        <w:rPr>
          <w:rFonts w:ascii="Times New Roman" w:eastAsia="楷体" w:hAnsi="Times New Roman" w:cs="Times New Roman" w:hint="eastAsia"/>
          <w:sz w:val="22"/>
          <w:szCs w:val="24"/>
          <w:lang w:val="zh-CN"/>
        </w:rPr>
        <w:t>，</w:t>
      </w:r>
      <w:r>
        <w:rPr>
          <w:rFonts w:ascii="Times New Roman" w:eastAsia="楷体" w:hAnsi="Times New Roman" w:cs="Times New Roman"/>
          <w:sz w:val="22"/>
          <w:szCs w:val="24"/>
          <w:lang w:val="zh-CN"/>
        </w:rPr>
        <w:t>作者</w:t>
      </w:r>
      <w:r>
        <w:rPr>
          <w:rFonts w:ascii="Times New Roman" w:eastAsia="楷体" w:hAnsi="Times New Roman" w:cs="Times New Roman" w:hint="eastAsia"/>
          <w:sz w:val="22"/>
          <w:szCs w:val="24"/>
          <w:lang w:val="zh-CN"/>
        </w:rPr>
        <w:t>三</w:t>
      </w:r>
      <w:proofErr w:type="gramStart"/>
      <w:r>
        <w:rPr>
          <w:rFonts w:ascii="Times New Roman" w:eastAsia="楷体" w:hAnsi="Times New Roman" w:cs="Times New Roman"/>
          <w:sz w:val="22"/>
          <w:szCs w:val="24"/>
          <w:vertAlign w:val="superscript"/>
          <w:lang w:val="zh-CN"/>
        </w:rPr>
        <w:t>2</w:t>
      </w:r>
      <w:proofErr w:type="gramEnd"/>
      <w:r>
        <w:rPr>
          <w:rFonts w:ascii="Times New Roman" w:eastAsia="楷体" w:hAnsi="Times New Roman" w:cs="Times New Roman"/>
          <w:color w:val="31849B" w:themeColor="accent5" w:themeShade="BF"/>
          <w:sz w:val="22"/>
          <w:szCs w:val="24"/>
          <w:lang w:val="zh-CN"/>
        </w:rPr>
        <w:t>（</w:t>
      </w:r>
      <w:r>
        <w:rPr>
          <w:rFonts w:ascii="Times New Roman" w:eastAsia="楷体" w:hAnsi="Times New Roman" w:cs="Times New Roman"/>
          <w:color w:val="31849B" w:themeColor="accent5" w:themeShade="BF"/>
          <w:sz w:val="22"/>
          <w:szCs w:val="24"/>
          <w:lang w:val="zh-CN"/>
        </w:rPr>
        <w:t>1</w:t>
      </w:r>
      <w:r>
        <w:rPr>
          <w:rFonts w:ascii="Times New Roman" w:eastAsia="楷体" w:hAnsi="Times New Roman" w:cs="Times New Roman" w:hint="eastAsia"/>
          <w:color w:val="31849B" w:themeColor="accent5" w:themeShade="BF"/>
          <w:sz w:val="22"/>
          <w:szCs w:val="24"/>
          <w:lang w:val="zh-CN"/>
        </w:rPr>
        <w:t>1</w:t>
      </w:r>
      <w:r>
        <w:rPr>
          <w:rFonts w:ascii="Times New Roman" w:eastAsia="楷体" w:hAnsi="Times New Roman" w:cs="Times New Roman"/>
          <w:color w:val="31849B" w:themeColor="accent5" w:themeShade="BF"/>
          <w:sz w:val="22"/>
          <w:szCs w:val="24"/>
          <w:lang w:val="zh-CN"/>
        </w:rPr>
        <w:t>磅</w:t>
      </w:r>
      <w:r>
        <w:rPr>
          <w:rFonts w:ascii="Times New Roman" w:eastAsia="楷体" w:hAnsi="Times New Roman" w:cs="Times New Roman" w:hint="eastAsia"/>
          <w:color w:val="31849B" w:themeColor="accent5" w:themeShade="BF"/>
          <w:sz w:val="22"/>
          <w:szCs w:val="24"/>
          <w:lang w:val="zh-CN"/>
        </w:rPr>
        <w:t>，</w:t>
      </w:r>
      <w:r>
        <w:rPr>
          <w:rFonts w:ascii="Times New Roman" w:eastAsia="楷体" w:hAnsi="Times New Roman" w:cs="Times New Roman"/>
          <w:color w:val="31849B" w:themeColor="accent5" w:themeShade="BF"/>
          <w:sz w:val="22"/>
          <w:szCs w:val="24"/>
          <w:lang w:val="zh-CN"/>
        </w:rPr>
        <w:t>楷体）</w:t>
      </w:r>
    </w:p>
    <w:p w14:paraId="35034A3C" w14:textId="77777777" w:rsidR="00CB23DA" w:rsidRPr="00CB23DA" w:rsidRDefault="00CB23DA" w:rsidP="00CB23DA">
      <w:pPr>
        <w:rPr>
          <w:rFonts w:eastAsia="楷体"/>
          <w:color w:val="FF0000"/>
          <w:sz w:val="18"/>
          <w:szCs w:val="18"/>
          <w:lang w:val="zh-CN"/>
        </w:rPr>
      </w:pPr>
      <w:r>
        <w:rPr>
          <w:rFonts w:ascii="楷体" w:eastAsia="楷体" w:hAnsi="楷体" w:hint="eastAsia"/>
          <w:sz w:val="18"/>
          <w:szCs w:val="18"/>
          <w:lang w:val="zh-CN"/>
        </w:rPr>
        <w:t>（</w:t>
      </w:r>
      <w:r>
        <w:rPr>
          <w:rFonts w:eastAsia="楷体"/>
          <w:sz w:val="18"/>
          <w:szCs w:val="18"/>
          <w:lang w:val="zh-CN"/>
        </w:rPr>
        <w:t>1.</w:t>
      </w:r>
      <w:r>
        <w:rPr>
          <w:rFonts w:eastAsia="楷体"/>
          <w:sz w:val="18"/>
          <w:szCs w:val="18"/>
          <w:lang w:val="zh-CN"/>
        </w:rPr>
        <w:t>作者一、作者二详细单位名称，城市邮编；</w:t>
      </w:r>
      <w:r>
        <w:rPr>
          <w:rFonts w:eastAsia="楷体"/>
          <w:sz w:val="18"/>
          <w:szCs w:val="18"/>
          <w:lang w:val="zh-CN"/>
        </w:rPr>
        <w:t>2.</w:t>
      </w:r>
      <w:r>
        <w:rPr>
          <w:rFonts w:eastAsia="楷体"/>
          <w:sz w:val="18"/>
          <w:szCs w:val="18"/>
          <w:lang w:val="zh-CN"/>
        </w:rPr>
        <w:t>作者三详细单位名称，城市邮编）</w:t>
      </w:r>
      <w:r>
        <w:rPr>
          <w:rFonts w:eastAsia="楷体"/>
          <w:color w:val="31849B" w:themeColor="accent5" w:themeShade="BF"/>
          <w:sz w:val="18"/>
          <w:szCs w:val="18"/>
          <w:lang w:val="zh-CN"/>
        </w:rPr>
        <w:t>（</w:t>
      </w:r>
      <w:r>
        <w:rPr>
          <w:rFonts w:eastAsia="楷体"/>
          <w:color w:val="31849B" w:themeColor="accent5" w:themeShade="BF"/>
          <w:sz w:val="18"/>
          <w:szCs w:val="18"/>
          <w:lang w:val="zh-CN"/>
        </w:rPr>
        <w:t>9</w:t>
      </w:r>
      <w:r>
        <w:rPr>
          <w:rFonts w:eastAsia="楷体"/>
          <w:color w:val="31849B" w:themeColor="accent5" w:themeShade="BF"/>
          <w:sz w:val="18"/>
          <w:szCs w:val="18"/>
          <w:lang w:val="zh-CN"/>
        </w:rPr>
        <w:t>磅，楷体）</w:t>
      </w:r>
      <w:r w:rsidRPr="00CB23DA">
        <w:rPr>
          <w:rFonts w:eastAsia="楷体" w:hint="eastAsia"/>
          <w:color w:val="FF0000"/>
          <w:sz w:val="18"/>
          <w:szCs w:val="18"/>
          <w:lang w:val="zh-CN"/>
        </w:rPr>
        <w:t>作者单位从省开始，如广东省广州市公安局刑事技术所。</w:t>
      </w:r>
    </w:p>
    <w:p w14:paraId="26BD4E12" w14:textId="5A43A601" w:rsidR="00CB23DA" w:rsidRPr="00A32A4C" w:rsidRDefault="00CB23DA" w:rsidP="00CB23DA">
      <w:pPr>
        <w:pStyle w:val="1"/>
        <w:spacing w:line="320" w:lineRule="exact"/>
        <w:ind w:firstLineChars="0" w:firstLine="0"/>
        <w:jc w:val="center"/>
        <w:rPr>
          <w:rFonts w:ascii="黑体" w:eastAsia="黑体" w:hAnsi="黑体"/>
          <w:color w:val="31849B" w:themeColor="accent5" w:themeShade="BF"/>
          <w:sz w:val="20"/>
          <w:szCs w:val="20"/>
          <w:lang w:val="zh-CN"/>
        </w:rPr>
      </w:pPr>
    </w:p>
    <w:p w14:paraId="7908A28F" w14:textId="77777777" w:rsidR="00CB23DA" w:rsidRPr="00A32A4C" w:rsidRDefault="00CB23DA" w:rsidP="00CB23DA">
      <w:pPr>
        <w:autoSpaceDE w:val="0"/>
        <w:autoSpaceDN w:val="0"/>
        <w:adjustRightInd w:val="0"/>
        <w:jc w:val="left"/>
        <w:rPr>
          <w:rFonts w:ascii="黑体" w:eastAsia="黑体" w:hAnsi="黑体" w:cs="Times New Roman"/>
          <w:color w:val="31849B" w:themeColor="accent5" w:themeShade="BF"/>
          <w:sz w:val="20"/>
          <w:szCs w:val="20"/>
          <w:lang w:val="zh-CN"/>
        </w:rPr>
      </w:pPr>
      <w:r w:rsidRPr="00A32A4C">
        <w:rPr>
          <w:rFonts w:ascii="黑体" w:eastAsia="黑体" w:hAnsi="黑体" w:cs="Times New Roman" w:hint="eastAsia"/>
          <w:sz w:val="20"/>
          <w:szCs w:val="20"/>
          <w:lang w:val="zh-CN"/>
        </w:rPr>
        <w:t>摘　要：</w:t>
      </w:r>
      <w:r w:rsidRPr="00A32A4C">
        <w:rPr>
          <w:rFonts w:ascii="黑体" w:eastAsia="黑体" w:hAnsi="黑体" w:cs="Times New Roman" w:hint="eastAsia"/>
          <w:color w:val="31849B" w:themeColor="accent5" w:themeShade="BF"/>
          <w:sz w:val="20"/>
          <w:szCs w:val="20"/>
          <w:lang w:val="zh-CN"/>
        </w:rPr>
        <w:t>（200字左右）</w:t>
      </w:r>
    </w:p>
    <w:p w14:paraId="5B51375E" w14:textId="77777777" w:rsidR="00CB23DA" w:rsidRPr="00A32A4C" w:rsidRDefault="00CB23DA" w:rsidP="00CB23DA">
      <w:pPr>
        <w:rPr>
          <w:rFonts w:asciiTheme="minorEastAsia" w:hAnsiTheme="minorEastAsia" w:cs="FZKTK--GBK1-0"/>
          <w:kern w:val="0"/>
          <w:sz w:val="20"/>
          <w:szCs w:val="20"/>
        </w:rPr>
      </w:pPr>
      <w:r w:rsidRPr="00A32A4C">
        <w:rPr>
          <w:rFonts w:ascii="黑体" w:eastAsia="黑体" w:hAnsi="黑体" w:cs="Times New Roman" w:hint="eastAsia"/>
          <w:sz w:val="20"/>
          <w:szCs w:val="20"/>
          <w:lang w:val="zh-CN"/>
        </w:rPr>
        <w:t>关键词：</w:t>
      </w:r>
      <w:r w:rsidRPr="00A32A4C">
        <w:rPr>
          <w:rFonts w:ascii="黑体" w:eastAsia="黑体" w:hAnsi="黑体" w:cs="Times New Roman" w:hint="eastAsia"/>
          <w:color w:val="31849B" w:themeColor="accent5" w:themeShade="BF"/>
          <w:sz w:val="20"/>
          <w:szCs w:val="20"/>
          <w:lang w:val="zh-CN"/>
        </w:rPr>
        <w:t>（至少三个，以分号隔开）</w:t>
      </w:r>
    </w:p>
    <w:p w14:paraId="4768C9E0" w14:textId="77777777" w:rsidR="00CB23DA" w:rsidRDefault="00CB23DA" w:rsidP="00CB23DA">
      <w:pPr>
        <w:pStyle w:val="aa"/>
        <w:numPr>
          <w:ilvl w:val="0"/>
          <w:numId w:val="1"/>
        </w:numPr>
        <w:spacing w:beforeLines="50" w:before="156" w:afterLines="50" w:after="156" w:line="320" w:lineRule="exact"/>
        <w:ind w:left="482" w:firstLineChars="0" w:hanging="482"/>
        <w:rPr>
          <w:rFonts w:ascii="黑体" w:eastAsia="黑体" w:hAnsi="黑体" w:cs="Times New Roman"/>
          <w:sz w:val="24"/>
          <w:szCs w:val="24"/>
          <w:lang w:val="zh-CN"/>
        </w:rPr>
      </w:pPr>
      <w:r>
        <w:rPr>
          <w:rFonts w:ascii="黑体" w:eastAsia="黑体" w:hAnsi="黑体" w:cs="Times New Roman" w:hint="eastAsia"/>
          <w:sz w:val="24"/>
          <w:szCs w:val="24"/>
          <w:lang w:val="zh-CN"/>
        </w:rPr>
        <w:t>一级标题</w:t>
      </w:r>
      <w:r>
        <w:rPr>
          <w:rFonts w:ascii="黑体" w:eastAsia="黑体" w:hAnsi="黑体" w:cs="Times New Roman"/>
          <w:color w:val="31849B" w:themeColor="accent5" w:themeShade="BF"/>
          <w:sz w:val="24"/>
          <w:szCs w:val="24"/>
          <w:lang w:val="zh-CN"/>
        </w:rPr>
        <w:t>（</w:t>
      </w:r>
      <w:r>
        <w:rPr>
          <w:rFonts w:ascii="黑体" w:eastAsia="黑体" w:hAnsi="黑体" w:cs="Times New Roman" w:hint="eastAsia"/>
          <w:color w:val="31849B" w:themeColor="accent5" w:themeShade="BF"/>
          <w:sz w:val="24"/>
          <w:szCs w:val="24"/>
          <w:lang w:val="zh-CN"/>
        </w:rPr>
        <w:t>12磅，黑体</w:t>
      </w:r>
      <w:r>
        <w:rPr>
          <w:rFonts w:ascii="黑体" w:eastAsia="黑体" w:hAnsi="黑体" w:cs="Times New Roman"/>
          <w:color w:val="31849B" w:themeColor="accent5" w:themeShade="BF"/>
          <w:sz w:val="24"/>
          <w:szCs w:val="24"/>
          <w:lang w:val="zh-CN"/>
        </w:rPr>
        <w:t>）</w:t>
      </w:r>
    </w:p>
    <w:p w14:paraId="1A157F34" w14:textId="77777777" w:rsidR="00CB23DA" w:rsidRDefault="00CB23DA" w:rsidP="00CB23DA">
      <w:pPr>
        <w:spacing w:line="320" w:lineRule="exact"/>
        <w:ind w:firstLineChars="200" w:firstLine="40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/>
          <w:sz w:val="20"/>
          <w:szCs w:val="20"/>
          <w:lang w:val="zh-CN"/>
        </w:rPr>
        <w:t>正文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（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10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磅，宋体，行距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  <w:lang w:val="zh-CN"/>
        </w:rPr>
        <w:t>16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  <w:lang w:val="zh-CN"/>
        </w:rPr>
        <w:t>磅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）</w:t>
      </w:r>
    </w:p>
    <w:p w14:paraId="45BDA5CA" w14:textId="77777777" w:rsidR="00CB23DA" w:rsidRDefault="00CB23DA" w:rsidP="00CB23DA">
      <w:pPr>
        <w:pStyle w:val="aa"/>
        <w:numPr>
          <w:ilvl w:val="1"/>
          <w:numId w:val="1"/>
        </w:numPr>
        <w:spacing w:line="320" w:lineRule="exact"/>
        <w:ind w:left="482" w:firstLineChars="0" w:hanging="482"/>
        <w:rPr>
          <w:rFonts w:ascii="黑体" w:eastAsia="黑体" w:hAnsi="黑体" w:cs="Times New Roman"/>
          <w:sz w:val="20"/>
          <w:szCs w:val="24"/>
          <w:lang w:val="zh-CN"/>
        </w:rPr>
      </w:pPr>
      <w:r>
        <w:rPr>
          <w:rFonts w:ascii="黑体" w:eastAsia="黑体" w:hAnsi="黑体" w:cs="Times New Roman" w:hint="eastAsia"/>
          <w:sz w:val="20"/>
          <w:szCs w:val="24"/>
          <w:lang w:val="zh-CN"/>
        </w:rPr>
        <w:t>二级标题</w:t>
      </w:r>
      <w:r>
        <w:rPr>
          <w:rFonts w:ascii="Times New Roman" w:eastAsia="黑体" w:hAnsi="Times New Roman" w:cs="Times New Roman"/>
          <w:color w:val="31849B" w:themeColor="accent5" w:themeShade="BF"/>
          <w:sz w:val="20"/>
          <w:szCs w:val="20"/>
        </w:rPr>
        <w:t>（</w:t>
      </w:r>
      <w:r>
        <w:rPr>
          <w:rFonts w:ascii="Times New Roman" w:eastAsia="黑体" w:hAnsi="Times New Roman" w:cs="Times New Roman"/>
          <w:color w:val="31849B" w:themeColor="accent5" w:themeShade="BF"/>
          <w:sz w:val="20"/>
          <w:szCs w:val="20"/>
        </w:rPr>
        <w:t>10</w:t>
      </w:r>
      <w:r>
        <w:rPr>
          <w:rFonts w:ascii="Times New Roman" w:eastAsia="黑体" w:hAnsi="Times New Roman" w:cs="Times New Roman"/>
          <w:color w:val="31849B" w:themeColor="accent5" w:themeShade="BF"/>
          <w:sz w:val="20"/>
          <w:szCs w:val="20"/>
        </w:rPr>
        <w:t>磅，黑体）</w:t>
      </w:r>
    </w:p>
    <w:p w14:paraId="178DFD31" w14:textId="77777777" w:rsidR="00CB23DA" w:rsidRDefault="00CB23DA" w:rsidP="00CB23DA">
      <w:pPr>
        <w:spacing w:line="320" w:lineRule="exact"/>
        <w:ind w:firstLineChars="200" w:firstLine="400"/>
        <w:rPr>
          <w:rFonts w:ascii="Times New Roman" w:eastAsia="宋体" w:hAnsi="Times New Roman" w:cs="Times New Roman"/>
          <w:sz w:val="20"/>
          <w:szCs w:val="20"/>
          <w:lang w:val="zh-CN"/>
        </w:rPr>
      </w:pPr>
      <w:r>
        <w:rPr>
          <w:rFonts w:ascii="Times New Roman" w:eastAsia="宋体" w:hAnsi="Times New Roman" w:cs="Times New Roman"/>
          <w:sz w:val="20"/>
          <w:szCs w:val="20"/>
          <w:lang w:val="zh-CN"/>
        </w:rPr>
        <w:t>正文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（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10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磅，宋体，行距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  <w:lang w:val="zh-CN"/>
        </w:rPr>
        <w:t>16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  <w:lang w:val="zh-CN"/>
        </w:rPr>
        <w:t>磅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）</w:t>
      </w:r>
    </w:p>
    <w:p w14:paraId="3D370D3A" w14:textId="77777777" w:rsidR="00CB23DA" w:rsidRDefault="00CB23DA" w:rsidP="00CB23DA">
      <w:pPr>
        <w:pStyle w:val="aa"/>
        <w:numPr>
          <w:ilvl w:val="2"/>
          <w:numId w:val="1"/>
        </w:numPr>
        <w:spacing w:line="320" w:lineRule="exact"/>
        <w:ind w:firstLineChars="0"/>
        <w:rPr>
          <w:rFonts w:ascii="Times New Roman" w:eastAsia="楷体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楷体" w:hAnsi="Times New Roman" w:cs="Times New Roman"/>
          <w:b/>
          <w:color w:val="000000"/>
          <w:sz w:val="20"/>
          <w:szCs w:val="20"/>
        </w:rPr>
        <w:t>三级标题</w:t>
      </w:r>
      <w:r>
        <w:rPr>
          <w:rFonts w:ascii="Times New Roman" w:eastAsia="楷体" w:hAnsi="Times New Roman" w:cs="Times New Roman"/>
          <w:b/>
          <w:color w:val="31849B" w:themeColor="accent5" w:themeShade="BF"/>
          <w:sz w:val="20"/>
          <w:szCs w:val="20"/>
        </w:rPr>
        <w:t>（</w:t>
      </w:r>
      <w:r>
        <w:rPr>
          <w:rFonts w:ascii="Times New Roman" w:eastAsia="楷体" w:hAnsi="Times New Roman" w:cs="Times New Roman"/>
          <w:b/>
          <w:color w:val="31849B" w:themeColor="accent5" w:themeShade="BF"/>
          <w:sz w:val="20"/>
          <w:szCs w:val="20"/>
        </w:rPr>
        <w:t>10</w:t>
      </w:r>
      <w:r>
        <w:rPr>
          <w:rFonts w:ascii="Times New Roman" w:eastAsia="楷体" w:hAnsi="Times New Roman" w:cs="Times New Roman"/>
          <w:b/>
          <w:color w:val="31849B" w:themeColor="accent5" w:themeShade="BF"/>
          <w:sz w:val="20"/>
          <w:szCs w:val="20"/>
        </w:rPr>
        <w:t>磅</w:t>
      </w:r>
      <w:r>
        <w:rPr>
          <w:rFonts w:ascii="Times New Roman" w:eastAsia="楷体" w:hAnsi="Times New Roman" w:cs="Times New Roman" w:hint="eastAsia"/>
          <w:b/>
          <w:color w:val="31849B" w:themeColor="accent5" w:themeShade="BF"/>
          <w:sz w:val="20"/>
          <w:szCs w:val="20"/>
        </w:rPr>
        <w:t>，</w:t>
      </w:r>
      <w:r>
        <w:rPr>
          <w:rFonts w:ascii="Times New Roman" w:eastAsia="楷体" w:hAnsi="Times New Roman" w:cs="Times New Roman"/>
          <w:b/>
          <w:color w:val="31849B" w:themeColor="accent5" w:themeShade="BF"/>
          <w:sz w:val="20"/>
          <w:szCs w:val="20"/>
        </w:rPr>
        <w:t>楷体</w:t>
      </w:r>
      <w:r>
        <w:rPr>
          <w:rFonts w:ascii="Times New Roman" w:eastAsia="楷体" w:hAnsi="Times New Roman" w:cs="Times New Roman"/>
          <w:b/>
          <w:color w:val="31849B" w:themeColor="accent5" w:themeShade="BF"/>
          <w:sz w:val="20"/>
          <w:szCs w:val="20"/>
        </w:rPr>
        <w:t xml:space="preserve">) </w:t>
      </w:r>
    </w:p>
    <w:p w14:paraId="04034E67" w14:textId="77777777" w:rsidR="00CB23DA" w:rsidRDefault="00CB23DA" w:rsidP="00CB23DA">
      <w:pPr>
        <w:spacing w:line="320" w:lineRule="exact"/>
        <w:ind w:firstLineChars="200" w:firstLine="400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  <w:lang w:val="zh-CN"/>
        </w:rPr>
        <w:t>正文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</w:rPr>
        <w:t>（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</w:rPr>
        <w:t>10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磅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</w:rPr>
        <w:t>，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宋体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</w:rPr>
        <w:t>，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  <w:lang w:val="zh-CN"/>
        </w:rPr>
        <w:t>行距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</w:rPr>
        <w:t>16</w:t>
      </w:r>
      <w:r>
        <w:rPr>
          <w:rFonts w:ascii="Times New Roman" w:eastAsia="宋体" w:hAnsi="Times New Roman" w:cs="Times New Roman" w:hint="eastAsia"/>
          <w:color w:val="31849B" w:themeColor="accent5" w:themeShade="BF"/>
          <w:sz w:val="20"/>
          <w:szCs w:val="20"/>
          <w:lang w:val="zh-CN"/>
        </w:rPr>
        <w:t>磅</w:t>
      </w:r>
      <w:r>
        <w:rPr>
          <w:rFonts w:ascii="Times New Roman" w:eastAsia="宋体" w:hAnsi="Times New Roman" w:cs="Times New Roman"/>
          <w:color w:val="31849B" w:themeColor="accent5" w:themeShade="BF"/>
          <w:sz w:val="20"/>
          <w:szCs w:val="20"/>
        </w:rPr>
        <w:t>）</w:t>
      </w:r>
    </w:p>
    <w:p w14:paraId="363F9376" w14:textId="77777777" w:rsidR="00A32A4C" w:rsidRPr="00A32A4C" w:rsidRDefault="00CB23DA" w:rsidP="00A32A4C">
      <w:pP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注：全文行距为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16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磅，正文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10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磅宋体，字母和数字符号均用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Times New Roman</w:t>
      </w:r>
      <w:r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  <w:t>字体。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>图序号按照图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 xml:space="preserve">1  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>图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 xml:space="preserve">2  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>图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>3</w:t>
      </w:r>
      <w:r w:rsidR="00A32A4C" w:rsidRPr="00A32A4C">
        <w:rPr>
          <w:rFonts w:ascii="Times New Roman" w:eastAsia="宋体" w:hAnsi="Times New Roman" w:cs="Times New Roman" w:hint="eastAsia"/>
          <w:b/>
          <w:color w:val="31849B" w:themeColor="accent5" w:themeShade="BF"/>
          <w:kern w:val="0"/>
          <w:sz w:val="18"/>
          <w:szCs w:val="18"/>
        </w:rPr>
        <w:t>……的序号标注，没有图说的加图说。</w:t>
      </w:r>
    </w:p>
    <w:p w14:paraId="0DE38137" w14:textId="4008D375" w:rsidR="00CB23DA" w:rsidRDefault="00CB23DA" w:rsidP="00CB23DA">
      <w:pPr>
        <w:spacing w:beforeLines="50" w:before="156" w:line="320" w:lineRule="exact"/>
        <w:rPr>
          <w:rFonts w:ascii="Times New Roman" w:eastAsia="宋体" w:hAnsi="Times New Roman" w:cs="Times New Roman"/>
          <w:b/>
          <w:color w:val="31849B" w:themeColor="accent5" w:themeShade="BF"/>
          <w:kern w:val="0"/>
          <w:sz w:val="18"/>
          <w:szCs w:val="18"/>
        </w:rPr>
      </w:pPr>
    </w:p>
    <w:p w14:paraId="085A8955" w14:textId="21922D51" w:rsidR="00A32A4C" w:rsidRDefault="00A32A4C" w:rsidP="00A32A4C">
      <w:pPr>
        <w:pStyle w:val="1"/>
        <w:spacing w:beforeLines="50" w:before="156" w:line="320" w:lineRule="exact"/>
        <w:ind w:firstLineChars="0" w:firstLine="0"/>
        <w:jc w:val="left"/>
        <w:rPr>
          <w:color w:val="31849B" w:themeColor="accent5" w:themeShade="BF"/>
          <w:sz w:val="20"/>
          <w:szCs w:val="20"/>
        </w:rPr>
      </w:pPr>
      <w:r>
        <w:rPr>
          <w:rFonts w:eastAsia="黑体" w:hint="eastAsia"/>
          <w:kern w:val="0"/>
        </w:rPr>
        <w:t>【</w:t>
      </w:r>
      <w:r>
        <w:rPr>
          <w:rFonts w:eastAsia="黑体"/>
          <w:kern w:val="0"/>
        </w:rPr>
        <w:t>参考文献</w:t>
      </w:r>
      <w:r>
        <w:rPr>
          <w:rFonts w:eastAsia="黑体" w:hint="eastAsia"/>
          <w:kern w:val="0"/>
        </w:rPr>
        <w:t>】</w:t>
      </w:r>
      <w:r>
        <w:rPr>
          <w:color w:val="31849B" w:themeColor="accent5" w:themeShade="BF"/>
          <w:kern w:val="0"/>
          <w:sz w:val="17"/>
          <w:szCs w:val="17"/>
        </w:rPr>
        <w:t>（参考文献根据在正文中出现的先后顺序排列于文末。每条参考文献应在文中相应处标注。凡中文为</w:t>
      </w:r>
      <w:r>
        <w:rPr>
          <w:color w:val="31849B" w:themeColor="accent5" w:themeShade="BF"/>
          <w:kern w:val="0"/>
          <w:sz w:val="17"/>
          <w:szCs w:val="17"/>
        </w:rPr>
        <w:t xml:space="preserve">8.5 </w:t>
      </w:r>
      <w:r>
        <w:rPr>
          <w:color w:val="31849B" w:themeColor="accent5" w:themeShade="BF"/>
          <w:kern w:val="0"/>
          <w:sz w:val="17"/>
          <w:szCs w:val="17"/>
        </w:rPr>
        <w:t>磅宋体，英文及数字为</w:t>
      </w:r>
      <w:r>
        <w:rPr>
          <w:color w:val="31849B" w:themeColor="accent5" w:themeShade="BF"/>
          <w:kern w:val="0"/>
          <w:sz w:val="17"/>
          <w:szCs w:val="17"/>
        </w:rPr>
        <w:t xml:space="preserve">8.5 </w:t>
      </w:r>
      <w:r>
        <w:rPr>
          <w:color w:val="31849B" w:themeColor="accent5" w:themeShade="BF"/>
          <w:kern w:val="0"/>
          <w:sz w:val="17"/>
          <w:szCs w:val="17"/>
        </w:rPr>
        <w:t>磅</w:t>
      </w:r>
      <w:r>
        <w:rPr>
          <w:color w:val="31849B" w:themeColor="accent5" w:themeShade="BF"/>
          <w:kern w:val="0"/>
          <w:sz w:val="17"/>
          <w:szCs w:val="17"/>
        </w:rPr>
        <w:t>Times New Roman</w:t>
      </w:r>
      <w:r>
        <w:rPr>
          <w:color w:val="31849B" w:themeColor="accent5" w:themeShade="BF"/>
          <w:kern w:val="0"/>
          <w:sz w:val="17"/>
          <w:szCs w:val="17"/>
        </w:rPr>
        <w:t>字体</w:t>
      </w:r>
      <w:r>
        <w:rPr>
          <w:rFonts w:hint="eastAsia"/>
          <w:color w:val="31849B" w:themeColor="accent5" w:themeShade="BF"/>
          <w:kern w:val="0"/>
          <w:sz w:val="17"/>
          <w:szCs w:val="17"/>
        </w:rPr>
        <w:t>。</w:t>
      </w:r>
      <w:r w:rsidRPr="00A32A4C">
        <w:rPr>
          <w:color w:val="31849B" w:themeColor="accent5" w:themeShade="BF"/>
          <w:kern w:val="0"/>
          <w:sz w:val="17"/>
          <w:szCs w:val="17"/>
        </w:rPr>
        <w:t>期刊里面的（</w:t>
      </w:r>
      <w:r w:rsidRPr="00A32A4C">
        <w:rPr>
          <w:color w:val="31849B" w:themeColor="accent5" w:themeShade="BF"/>
          <w:kern w:val="0"/>
          <w:sz w:val="17"/>
          <w:szCs w:val="17"/>
        </w:rPr>
        <w:t>04</w:t>
      </w:r>
      <w:r w:rsidRPr="00A32A4C">
        <w:rPr>
          <w:color w:val="31849B" w:themeColor="accent5" w:themeShade="BF"/>
          <w:kern w:val="0"/>
          <w:sz w:val="17"/>
          <w:szCs w:val="17"/>
        </w:rPr>
        <w:t>）等改为（</w:t>
      </w:r>
      <w:r w:rsidRPr="00A32A4C">
        <w:rPr>
          <w:color w:val="31849B" w:themeColor="accent5" w:themeShade="BF"/>
          <w:kern w:val="0"/>
          <w:sz w:val="17"/>
          <w:szCs w:val="17"/>
        </w:rPr>
        <w:t>4</w:t>
      </w:r>
      <w:r w:rsidRPr="00A32A4C">
        <w:rPr>
          <w:color w:val="31849B" w:themeColor="accent5" w:themeShade="BF"/>
          <w:kern w:val="0"/>
          <w:sz w:val="17"/>
          <w:szCs w:val="17"/>
        </w:rPr>
        <w:t>）。</w:t>
      </w:r>
      <w:r>
        <w:rPr>
          <w:color w:val="31849B" w:themeColor="accent5" w:themeShade="BF"/>
          <w:kern w:val="0"/>
          <w:sz w:val="17"/>
          <w:szCs w:val="17"/>
        </w:rPr>
        <w:t>）</w:t>
      </w:r>
    </w:p>
    <w:p w14:paraId="1453379B" w14:textId="77777777" w:rsidR="00A32A4C" w:rsidRDefault="00A32A4C" w:rsidP="00A32A4C">
      <w:pPr>
        <w:spacing w:line="320" w:lineRule="exact"/>
        <w:rPr>
          <w:rFonts w:eastAsia="宋体"/>
          <w:color w:val="31849B" w:themeColor="accent5" w:themeShade="BF"/>
          <w:kern w:val="0"/>
          <w:sz w:val="17"/>
          <w:szCs w:val="17"/>
        </w:rPr>
      </w:pPr>
      <w:r>
        <w:rPr>
          <w:rFonts w:eastAsia="宋体" w:hint="eastAsia"/>
          <w:color w:val="31849B" w:themeColor="accent5" w:themeShade="BF"/>
          <w:kern w:val="0"/>
          <w:sz w:val="17"/>
          <w:szCs w:val="17"/>
        </w:rPr>
        <w:t>示</w:t>
      </w:r>
      <w:r>
        <w:rPr>
          <w:rFonts w:eastAsia="宋体"/>
          <w:color w:val="31849B" w:themeColor="accent5" w:themeShade="BF"/>
          <w:kern w:val="0"/>
          <w:sz w:val="17"/>
          <w:szCs w:val="17"/>
        </w:rPr>
        <w:t>例</w:t>
      </w:r>
      <w:r>
        <w:rPr>
          <w:rFonts w:eastAsia="宋体" w:hint="eastAsia"/>
          <w:color w:val="31849B" w:themeColor="accent5" w:themeShade="BF"/>
          <w:kern w:val="0"/>
          <w:sz w:val="17"/>
          <w:szCs w:val="17"/>
        </w:rPr>
        <w:t>：</w:t>
      </w:r>
    </w:p>
    <w:p w14:paraId="5788F1D9" w14:textId="77777777" w:rsidR="00A32A4C" w:rsidRDefault="00A32A4C" w:rsidP="00A32A4C">
      <w:pPr>
        <w:spacing w:line="320" w:lineRule="exact"/>
        <w:rPr>
          <w:rFonts w:eastAsia="宋体"/>
          <w:color w:val="FF0000"/>
          <w:kern w:val="0"/>
          <w:sz w:val="17"/>
          <w:szCs w:val="17"/>
        </w:rPr>
      </w:pPr>
      <w:r>
        <w:rPr>
          <w:rFonts w:eastAsia="宋体" w:hint="eastAsia"/>
          <w:color w:val="FF0000"/>
          <w:kern w:val="0"/>
          <w:sz w:val="17"/>
          <w:szCs w:val="17"/>
        </w:rPr>
        <w:t>普通图书</w:t>
      </w:r>
    </w:p>
    <w:p w14:paraId="3BB3090B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[1]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胡承正，周详，缪灵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理论物理概论：上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[M].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武汉：武汉大学出版社，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2010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112. </w:t>
      </w:r>
    </w:p>
    <w:p w14:paraId="5E6EC475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[2]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库恩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科学革命的结构：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版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[M].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金吾伦，胡新和，译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. 2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版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北京：北京大学出版社，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2012.</w:t>
      </w:r>
    </w:p>
    <w:p w14:paraId="5A73B80F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[3] </w:t>
      </w:r>
      <w:proofErr w:type="spell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Kinchy</w:t>
      </w:r>
      <w:proofErr w:type="spell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 A. Seeds, sciences, and struggle: the global politics of transgenic crops[M/OL]. Cambridge, Mass.: MIT Press, 2012: 50[2013-07-14]. 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http:lib.myilibrary.com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>?ID=381443.</w:t>
      </w:r>
    </w:p>
    <w:p w14:paraId="24690572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会议文集</w:t>
      </w:r>
    </w:p>
    <w:p w14:paraId="6C02B2C3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[4]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中国社会科学院台湾史研究中心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台湾光复六十五周年暨抗战史实学术研讨会论文集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[C].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北京：九州出版社，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2012.</w:t>
      </w:r>
    </w:p>
    <w:p w14:paraId="3E90E690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报告</w:t>
      </w:r>
    </w:p>
    <w:p w14:paraId="57EA08BD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[5] 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汤万金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>，杨跃翔，刘文，等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人体安全重要技术标准研制最终报告：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7178999X-2006BAK04A10/10.2013[R/OL].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（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2013-09-30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）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[2014-06-24]. </w:t>
      </w:r>
      <w:hyperlink r:id="rId7" w:history="1">
        <w:r>
          <w:rPr>
            <w:rFonts w:ascii="Times New Roman" w:eastAsia="宋体" w:hAnsi="Times New Roman" w:cs="Times New Roman"/>
            <w:color w:val="000000"/>
            <w:sz w:val="17"/>
            <w:szCs w:val="17"/>
          </w:rPr>
          <w:t>http://www.nstrs.org.cn/xiangxiBG.aspx?id=41707</w:t>
        </w:r>
      </w:hyperlink>
      <w:r>
        <w:rPr>
          <w:rFonts w:ascii="Times New Roman" w:eastAsia="宋体" w:hAnsi="Times New Roman" w:cs="Times New Roman"/>
          <w:color w:val="000000"/>
          <w:sz w:val="17"/>
          <w:szCs w:val="17"/>
        </w:rPr>
        <w:t>.</w:t>
      </w:r>
    </w:p>
    <w:p w14:paraId="485E201D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学位论文</w:t>
      </w:r>
    </w:p>
    <w:p w14:paraId="5E02D020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>[6] Calms R B. Infrared spectroscopic studies on solid oxygen[D]. Berkeley: Univ. of California, 1965.</w:t>
      </w:r>
    </w:p>
    <w:p w14:paraId="2CF7426E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[7]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吴云芳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面向中文信息处理的现代汉语并列结构研究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[D/OL].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北京：北京大学，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2003[2013-10-14]. http://thesis.lib.pku.edu.cn/dlib/List.asp?lang=gb&amp;type=Reader&amp;DocGroupID=4&amp;DocID=6328.</w:t>
      </w:r>
    </w:p>
    <w:p w14:paraId="24BC3188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专利文献</w:t>
      </w:r>
    </w:p>
    <w:p w14:paraId="62C4F164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[8]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张凯军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轨道火车及高速轨道火车紧急安全制动辅助装置：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201220158825.2[P]. 2012-04-05.</w:t>
      </w:r>
    </w:p>
    <w:p w14:paraId="386D7201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FF0000"/>
          <w:sz w:val="17"/>
          <w:szCs w:val="17"/>
        </w:rPr>
      </w:pPr>
      <w:r>
        <w:rPr>
          <w:rFonts w:ascii="Times New Roman" w:eastAsia="宋体" w:hAnsi="Times New Roman" w:cs="Times New Roman"/>
          <w:sz w:val="17"/>
          <w:szCs w:val="17"/>
        </w:rPr>
        <w:t xml:space="preserve">[9] </w:t>
      </w:r>
      <w:r>
        <w:rPr>
          <w:rFonts w:ascii="Times New Roman" w:eastAsia="宋体" w:hAnsi="Times New Roman" w:cs="Times New Roman"/>
          <w:sz w:val="17"/>
          <w:szCs w:val="17"/>
        </w:rPr>
        <w:t>河北绿洲生态环境科技有限公司</w:t>
      </w:r>
      <w:r>
        <w:rPr>
          <w:rFonts w:ascii="Times New Roman" w:eastAsia="宋体" w:hAnsi="Times New Roman" w:cs="Times New Roman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sz w:val="17"/>
          <w:szCs w:val="17"/>
        </w:rPr>
        <w:t>一种荒漠化地区生态植被综合培育种植方法：</w:t>
      </w:r>
      <w:r>
        <w:rPr>
          <w:rFonts w:ascii="Times New Roman" w:eastAsia="宋体" w:hAnsi="Times New Roman" w:cs="Times New Roman"/>
          <w:sz w:val="17"/>
          <w:szCs w:val="17"/>
        </w:rPr>
        <w:t>01129210.5[P/OL]. 2001-10-24[2002-05-28]. http://211.152.9.47/sipoasp/zlijs/hyjs-yx-new.asp?recid=01129210.5&amp;leixin=0.</w:t>
      </w:r>
    </w:p>
    <w:p w14:paraId="59BB60AF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标准文献</w:t>
      </w:r>
    </w:p>
    <w:p w14:paraId="04790EFE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lastRenderedPageBreak/>
        <w:t xml:space="preserve">[10]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全国信息与文献标准化技术委员会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信息与文献都柏林核心元数据元素集：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GB/T 25100—2010 [S].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北京：中国标准出版社，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2010:2-3.</w:t>
      </w:r>
    </w:p>
    <w:p w14:paraId="3340CB97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sz w:val="17"/>
          <w:szCs w:val="17"/>
        </w:rPr>
        <w:t xml:space="preserve">[11]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国家环境保护局科技标准司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土壤环境质量标准：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GB 15616—1995[S/OL].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北京：中国标准出版社，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1996:2-3[2013-10-14].</w:t>
      </w:r>
      <w:hyperlink r:id="rId8" w:history="1">
        <w:r>
          <w:rPr>
            <w:rStyle w:val="a9"/>
            <w:rFonts w:ascii="Times New Roman" w:eastAsia="宋体" w:hAnsi="Times New Roman" w:cs="Times New Roman"/>
            <w:color w:val="000000" w:themeColor="text1"/>
            <w:sz w:val="17"/>
            <w:szCs w:val="17"/>
          </w:rPr>
          <w:t>http://wenku.baidu.com/view/b950a34b767f5acfa1c7cd49.html</w:t>
        </w:r>
      </w:hyperlink>
      <w:r>
        <w:rPr>
          <w:rFonts w:ascii="Times New Roman" w:eastAsia="宋体" w:hAnsi="Times New Roman" w:cs="Times New Roman"/>
          <w:color w:val="000000" w:themeColor="text1"/>
          <w:sz w:val="17"/>
          <w:szCs w:val="17"/>
        </w:rPr>
        <w:t>.</w:t>
      </w:r>
    </w:p>
    <w:p w14:paraId="57CF24DD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专著中析出的文献</w:t>
      </w:r>
    </w:p>
    <w:p w14:paraId="40C6174A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[12] 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白书农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植物开花研究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[M]//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李承森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植物科学进展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北京：高等教育出版社，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1998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：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146-163.</w:t>
      </w:r>
    </w:p>
    <w:p w14:paraId="0A784608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[13]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汪学军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中国农业转基因生物研发进展与管理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[C]//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国家环境保护总局生物安全管理办公室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中国国家生物安全框架实施国际合作项目研讨会论文集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北京：中国环境科学出版社，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2002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22-25.</w:t>
      </w:r>
    </w:p>
    <w:p w14:paraId="432353B5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期刊中析出的文献</w:t>
      </w:r>
    </w:p>
    <w:p w14:paraId="3D4F2670" w14:textId="77777777" w:rsidR="00A32A4C" w:rsidRDefault="00A32A4C" w:rsidP="00A32A4C">
      <w:pPr>
        <w:spacing w:line="320" w:lineRule="exact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[14]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张旭，黎智辉，王鑫，等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视频取证技术研究进展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[J].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刑事技术，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2015,40(2):1-7.</w:t>
      </w:r>
    </w:p>
    <w:p w14:paraId="20826ECE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>[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15]Chen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S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,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Billing</w:t>
      </w:r>
      <w:proofErr w:type="spell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 S A, Cowan C F, et al. Practical identification of MARMAX models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[J].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Int J Control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,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1990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,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52 (6)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: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1327-1350</w:t>
      </w:r>
      <w:r>
        <w:rPr>
          <w:rFonts w:ascii="Times New Roman" w:eastAsia="宋体" w:hAnsi="Times New Roman" w:cs="Times New Roman" w:hint="eastAsia"/>
          <w:color w:val="000000"/>
          <w:sz w:val="17"/>
          <w:szCs w:val="17"/>
        </w:rPr>
        <w:t>.</w:t>
      </w:r>
    </w:p>
    <w:p w14:paraId="46E19FB0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[16] Walls S C, </w:t>
      </w:r>
      <w:proofErr w:type="spell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Barichivich</w:t>
      </w:r>
      <w:proofErr w:type="spellEnd"/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 W J, Brown M E. Drought, deluge and declines: the impact of precipitation extremes on amphibians in a changing climate[J/OL]. Biology, 2013, 2(1): 399-418[2013-11-04]. </w:t>
      </w:r>
      <w:hyperlink r:id="rId9" w:history="1">
        <w:r>
          <w:rPr>
            <w:rFonts w:ascii="Times New Roman" w:eastAsia="宋体" w:hAnsi="Times New Roman" w:cs="Times New Roman"/>
            <w:color w:val="000000"/>
            <w:sz w:val="17"/>
            <w:szCs w:val="17"/>
          </w:rPr>
          <w:t>http://www.mdpi.com/2079-7737/2/1/399.</w:t>
        </w:r>
      </w:hyperlink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 DOI: 10.3390/biology2010399.</w:t>
      </w:r>
    </w:p>
    <w:p w14:paraId="58B80E62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FF000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sz w:val="17"/>
          <w:szCs w:val="17"/>
        </w:rPr>
        <w:t>报纸中析出的文献</w:t>
      </w:r>
    </w:p>
    <w:p w14:paraId="280CB193" w14:textId="77777777" w:rsidR="00A32A4C" w:rsidRDefault="00A32A4C" w:rsidP="00A32A4C">
      <w:pPr>
        <w:autoSpaceDE w:val="0"/>
        <w:autoSpaceDN w:val="0"/>
        <w:adjustRightInd w:val="0"/>
        <w:spacing w:line="320" w:lineRule="exac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[17] 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张田勤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罪犯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DNA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库与生命伦理学计划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[N].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大众科技报，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2000-11-12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.</w:t>
      </w:r>
    </w:p>
    <w:p w14:paraId="0A05246E" w14:textId="77777777" w:rsidR="00A32A4C" w:rsidRDefault="00A32A4C" w:rsidP="00A32A4C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[18]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刘裕国，杨柳，张洋，等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雾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霾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来袭，如何突围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[N/OL].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人民日报，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2013-01-12[2013-11-06]. http://paper.people.com.cn/rmrb/html/2013-01/12nw.D110000renmrb_20130112_04.htm.</w:t>
      </w:r>
    </w:p>
    <w:p w14:paraId="02534324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FF0000"/>
          <w:kern w:val="0"/>
          <w:sz w:val="17"/>
          <w:szCs w:val="17"/>
        </w:rPr>
        <w:t>电子资源（不包括电子专著、电子连续出版物、电子学位论文、电子专利）</w:t>
      </w:r>
    </w:p>
    <w:p w14:paraId="4F4371E0" w14:textId="77777777" w:rsidR="00A32A4C" w:rsidRDefault="00A32A4C" w:rsidP="00A32A4C">
      <w:pPr>
        <w:spacing w:line="320" w:lineRule="exact"/>
        <w:jc w:val="lef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[19]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萧钰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出版业信息化迈入快车道</w:t>
      </w:r>
      <w:r>
        <w:rPr>
          <w:rFonts w:ascii="Times New Roman" w:eastAsia="宋体" w:hAnsi="Times New Roman" w:cs="Times New Roman"/>
          <w:color w:val="000000"/>
          <w:sz w:val="17"/>
          <w:szCs w:val="17"/>
        </w:rPr>
        <w:t>[EB/OL]. (2001-12-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19)[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>2002-04-15]. http://www.creader.com/news/20011219/200112190019.html.</w:t>
      </w:r>
    </w:p>
    <w:p w14:paraId="69748840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>[20] Dublin core metadata element set: version1.1[EB/OL</w:t>
      </w:r>
      <w:proofErr w:type="gramStart"/>
      <w:r>
        <w:rPr>
          <w:rFonts w:ascii="Times New Roman" w:eastAsia="宋体" w:hAnsi="Times New Roman" w:cs="Times New Roman"/>
          <w:color w:val="000000"/>
          <w:sz w:val="17"/>
          <w:szCs w:val="17"/>
        </w:rPr>
        <w:t>].(</w:t>
      </w:r>
      <w:proofErr w:type="gramEnd"/>
      <w:r>
        <w:rPr>
          <w:rFonts w:ascii="Times New Roman" w:eastAsia="宋体" w:hAnsi="Times New Roman" w:cs="Times New Roman"/>
          <w:color w:val="000000"/>
          <w:sz w:val="17"/>
          <w:szCs w:val="17"/>
        </w:rPr>
        <w:t>2012-06-14)[2014-06-11].</w:t>
      </w:r>
    </w:p>
    <w:p w14:paraId="369BE2FB" w14:textId="77777777" w:rsidR="00A32A4C" w:rsidRDefault="00A32A4C" w:rsidP="00A32A4C">
      <w:pPr>
        <w:spacing w:line="320" w:lineRule="exact"/>
        <w:rPr>
          <w:rFonts w:ascii="Times New Roman" w:eastAsia="宋体" w:hAnsi="Times New Roman" w:cs="Times New Roman"/>
          <w:color w:val="00000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sz w:val="17"/>
          <w:szCs w:val="17"/>
        </w:rPr>
        <w:t>http://dublincore.org/documents/dces/.</w:t>
      </w:r>
    </w:p>
    <w:p w14:paraId="2ECE18A5" w14:textId="77777777" w:rsidR="00CB23DA" w:rsidRPr="00A32A4C" w:rsidRDefault="00CB23DA" w:rsidP="002D2039">
      <w:pPr>
        <w:autoSpaceDE w:val="0"/>
        <w:autoSpaceDN w:val="0"/>
        <w:adjustRightInd w:val="0"/>
        <w:jc w:val="left"/>
        <w:rPr>
          <w:rFonts w:asciiTheme="minorEastAsia" w:hAnsiTheme="minorEastAsia" w:cs="FZHTK--GBK1-0"/>
          <w:b/>
          <w:kern w:val="0"/>
          <w:sz w:val="24"/>
          <w:szCs w:val="24"/>
        </w:rPr>
      </w:pPr>
    </w:p>
    <w:p w14:paraId="0525B132" w14:textId="77777777" w:rsidR="002D2039" w:rsidRDefault="002D2039" w:rsidP="002D2039">
      <w:pPr>
        <w:rPr>
          <w:rFonts w:asciiTheme="minorEastAsia" w:hAnsiTheme="minorEastAsia"/>
          <w:color w:val="FF0000"/>
          <w:sz w:val="24"/>
          <w:szCs w:val="24"/>
        </w:rPr>
      </w:pPr>
    </w:p>
    <w:sectPr w:rsidR="002D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B851" w14:textId="77777777" w:rsidR="00E87E67" w:rsidRDefault="00E87E67" w:rsidP="00C45FE7">
      <w:r>
        <w:separator/>
      </w:r>
    </w:p>
  </w:endnote>
  <w:endnote w:type="continuationSeparator" w:id="0">
    <w:p w14:paraId="34302772" w14:textId="77777777" w:rsidR="00E87E67" w:rsidRDefault="00E87E67" w:rsidP="00C4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H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CB6C" w14:textId="77777777" w:rsidR="00E87E67" w:rsidRDefault="00E87E67" w:rsidP="00C45FE7">
      <w:r>
        <w:separator/>
      </w:r>
    </w:p>
  </w:footnote>
  <w:footnote w:type="continuationSeparator" w:id="0">
    <w:p w14:paraId="26DFA661" w14:textId="77777777" w:rsidR="00E87E67" w:rsidRDefault="00E87E67" w:rsidP="00C4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B6332"/>
    <w:multiLevelType w:val="multilevel"/>
    <w:tmpl w:val="7CBB6332"/>
    <w:lvl w:ilvl="0">
      <w:start w:val="1"/>
      <w:numFmt w:val="decimal"/>
      <w:lvlText w:val="%1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2">
      <w:start w:val="1"/>
      <w:numFmt w:val="decimal"/>
      <w:lvlText w:val="%1.%2.%3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3">
      <w:start w:val="1"/>
      <w:numFmt w:val="decimal"/>
      <w:lvlText w:val="%1.%2.%3.%4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4">
      <w:start w:val="1"/>
      <w:numFmt w:val="decimal"/>
      <w:lvlText w:val="%1.%2.%3.%4.%5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80" w:hanging="480"/>
      </w:pPr>
      <w:rPr>
        <w:rFonts w:ascii="宋体" w:eastAsia="宋体" w:hAnsi="宋体" w:hint="default"/>
        <w:sz w:val="24"/>
      </w:rPr>
    </w:lvl>
  </w:abstractNum>
  <w:num w:numId="1" w16cid:durableId="10504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NlNTAyNjQ2YmEwYTlhNGRmNzQ5YTA3OGQ3NmU4MTAifQ=="/>
  </w:docVars>
  <w:rsids>
    <w:rsidRoot w:val="00556CF6"/>
    <w:rsid w:val="000B004B"/>
    <w:rsid w:val="00114440"/>
    <w:rsid w:val="00140C77"/>
    <w:rsid w:val="00202EA7"/>
    <w:rsid w:val="00212972"/>
    <w:rsid w:val="0023412E"/>
    <w:rsid w:val="00234BFE"/>
    <w:rsid w:val="002C51BF"/>
    <w:rsid w:val="002D2039"/>
    <w:rsid w:val="003014AC"/>
    <w:rsid w:val="00357E5F"/>
    <w:rsid w:val="0038131B"/>
    <w:rsid w:val="00521A9E"/>
    <w:rsid w:val="00521F4D"/>
    <w:rsid w:val="00533C17"/>
    <w:rsid w:val="005530FC"/>
    <w:rsid w:val="00556CF6"/>
    <w:rsid w:val="005A6C69"/>
    <w:rsid w:val="006612F1"/>
    <w:rsid w:val="006D5C2D"/>
    <w:rsid w:val="00774CA8"/>
    <w:rsid w:val="00794677"/>
    <w:rsid w:val="007D401D"/>
    <w:rsid w:val="00857DDC"/>
    <w:rsid w:val="008A7BF5"/>
    <w:rsid w:val="00954863"/>
    <w:rsid w:val="0099633D"/>
    <w:rsid w:val="009B6F49"/>
    <w:rsid w:val="009F1159"/>
    <w:rsid w:val="00A00DC3"/>
    <w:rsid w:val="00A3213A"/>
    <w:rsid w:val="00A32A4C"/>
    <w:rsid w:val="00B7614F"/>
    <w:rsid w:val="00B9450F"/>
    <w:rsid w:val="00B96FD2"/>
    <w:rsid w:val="00C13A67"/>
    <w:rsid w:val="00C2207C"/>
    <w:rsid w:val="00C45E93"/>
    <w:rsid w:val="00C45FE7"/>
    <w:rsid w:val="00CB23DA"/>
    <w:rsid w:val="00DC4E3C"/>
    <w:rsid w:val="00E87E67"/>
    <w:rsid w:val="00EC49D1"/>
    <w:rsid w:val="00EE3F20"/>
    <w:rsid w:val="00F156C3"/>
    <w:rsid w:val="00F50F38"/>
    <w:rsid w:val="2383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90F5"/>
  <w15:docId w15:val="{D364F72B-6587-40A2-BBD9-3400513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ku.baidu.com/view/b950a34b767f5acfa1c7cd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trs.org.cn/xiangxiBG.aspx?id=41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dpi.com/2079-7737/2/1/399.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O365</cp:lastModifiedBy>
  <cp:revision>2</cp:revision>
  <cp:lastPrinted>2023-11-24T08:09:00Z</cp:lastPrinted>
  <dcterms:created xsi:type="dcterms:W3CDTF">2023-11-24T09:40:00Z</dcterms:created>
  <dcterms:modified xsi:type="dcterms:W3CDTF">2023-11-24T09:40:00Z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B806BD4D3BEB457ABD25F2BE37296CC4_12</vt:lpwstr>
  </property>
</Properties>
</file>